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0004" w14:textId="6A482B47" w:rsidR="00322DEE" w:rsidRPr="00D2792E" w:rsidRDefault="00322DEE" w:rsidP="00322DEE">
      <w:pPr>
        <w:pBdr>
          <w:bottom w:val="single" w:sz="12" w:space="1" w:color="auto"/>
        </w:pBdr>
        <w:spacing w:after="120"/>
        <w:rPr>
          <w:color w:val="ED7D31" w:themeColor="accent2"/>
          <w:sz w:val="50"/>
          <w:szCs w:val="50"/>
        </w:rPr>
      </w:pPr>
      <w:r w:rsidRPr="00D2792E">
        <w:rPr>
          <w:noProof/>
          <w:sz w:val="50"/>
          <w:szCs w:val="5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FD88" wp14:editId="4991BF94">
                <wp:simplePos x="0" y="0"/>
                <wp:positionH relativeFrom="column">
                  <wp:posOffset>15875</wp:posOffset>
                </wp:positionH>
                <wp:positionV relativeFrom="paragraph">
                  <wp:posOffset>1096645</wp:posOffset>
                </wp:positionV>
                <wp:extent cx="5942965" cy="2059940"/>
                <wp:effectExtent l="0" t="0" r="26035" b="2286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059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98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11A92" w14:textId="77777777" w:rsidR="00322DEE" w:rsidRDefault="00322DEE" w:rsidP="00322DEE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 w:rsidRPr="00FD44BE">
                              <w:rPr>
                                <w:b/>
                              </w:rPr>
                              <w:t>Formål</w:t>
                            </w:r>
                          </w:p>
                          <w:p w14:paraId="44F54B86" w14:textId="77777777" w:rsidR="00322DEE" w:rsidRPr="00322DEE" w:rsidRDefault="00322DEE" w:rsidP="00322DE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>
                              <w:t>Formålet med denne øvelse er at give et værktøj til museumsansatte til at udvide religionsperspektivet i indsamling og formidling af genstande på museet. Workshoppen skal faciliteters i en arbejdsgruppe på dit museum.</w:t>
                            </w:r>
                          </w:p>
                          <w:p w14:paraId="24C863A6" w14:textId="6DBD66FA" w:rsidR="00322DEE" w:rsidRDefault="00322DEE" w:rsidP="00322DEE">
                            <w:pPr>
                              <w:spacing w:before="100" w:beforeAutospacing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Forberedelse inden øvelsen:</w:t>
                            </w:r>
                          </w:p>
                          <w:p w14:paraId="24FF6067" w14:textId="77777777" w:rsidR="00322DEE" w:rsidRPr="00322DEE" w:rsidRDefault="00322DEE" w:rsidP="00322DE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</w:pPr>
                            <w:r w:rsidRPr="002F70A1">
                              <w:t xml:space="preserve">Medbring en genstand (enten fra museets egen samling eller personlig), som I forbinder med religion/spiritualitet. </w:t>
                            </w:r>
                          </w:p>
                          <w:p w14:paraId="18062D22" w14:textId="77777777" w:rsidR="00322DEE" w:rsidRPr="00322DEE" w:rsidRDefault="00322DEE" w:rsidP="00322DEE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982E35" w14:textId="77777777" w:rsidR="00322DEE" w:rsidRDefault="00322DEE" w:rsidP="00322DE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35FD88"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1.25pt;margin-top:86.35pt;width:467.9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" fillcolor="#ffc000" strokecolor="black [3200]" strokeweight="1pt">
                <v:fill opacity="20303f"/>
                <v:textbox>
                  <w:txbxContent>
                    <w:p w14:paraId="64D11A92" w14:textId="77777777" w:rsidR="00322DEE" w:rsidRDefault="00322DEE" w:rsidP="00322DEE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 w:rsidRPr="00FD44BE">
                        <w:rPr>
                          <w:b/>
                        </w:rPr>
                        <w:t>Formål</w:t>
                      </w:r>
                    </w:p>
                    <w:p w14:paraId="44F54B86" w14:textId="77777777" w:rsidR="00322DEE" w:rsidRPr="00322DEE" w:rsidRDefault="00322DEE" w:rsidP="00322DEE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>
                        <w:t>Formålet med denne øvelse er at give et værktøj til museumsansatte til at udvide religionsperspektivet i indsamling og formidling af genstande på museet. Workshoppen skal faciliteters i en arbejdsgruppe på dit museum.</w:t>
                      </w:r>
                    </w:p>
                    <w:p w14:paraId="24C863A6" w14:textId="6DBD66FA" w:rsidR="00322DEE" w:rsidRDefault="00322DEE" w:rsidP="00322DEE">
                      <w:pPr>
                        <w:spacing w:before="100" w:beforeAutospacing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Forberedelse inden øvelse</w:t>
                      </w:r>
                      <w:r>
                        <w:rPr>
                          <w:b/>
                        </w:rPr>
                        <w:t>n:</w:t>
                      </w:r>
                    </w:p>
                    <w:p w14:paraId="24FF6067" w14:textId="77777777" w:rsidR="00322DEE" w:rsidRPr="00322DEE" w:rsidRDefault="00322DEE" w:rsidP="00322DEE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before="100" w:beforeAutospacing="1"/>
                      </w:pPr>
                      <w:r w:rsidRPr="002F70A1">
                        <w:t xml:space="preserve">Medbring en genstand (enten fra museets egen samling eller personlig), som I forbinder med religion/spiritualitet. </w:t>
                      </w:r>
                    </w:p>
                    <w:p w14:paraId="18062D22" w14:textId="77777777" w:rsidR="00322DEE" w:rsidRPr="00322DEE" w:rsidRDefault="00322DEE" w:rsidP="00322DEE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</w:p>
                    <w:p w14:paraId="5C982E35" w14:textId="77777777" w:rsidR="00322DEE" w:rsidRDefault="00322DEE" w:rsidP="00322DE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0A1" w:rsidRPr="00D2792E">
        <w:rPr>
          <w:color w:val="ED7D31" w:themeColor="accent2"/>
          <w:sz w:val="50"/>
          <w:szCs w:val="50"/>
        </w:rPr>
        <w:t>Workshop</w:t>
      </w:r>
      <w:r w:rsidR="00D2792E" w:rsidRPr="00D2792E">
        <w:rPr>
          <w:color w:val="ED7D31" w:themeColor="accent2"/>
          <w:sz w:val="50"/>
          <w:szCs w:val="50"/>
        </w:rPr>
        <w:t xml:space="preserve"> 1: Genstande med nye øjne</w:t>
      </w:r>
    </w:p>
    <w:p w14:paraId="47766406" w14:textId="77777777" w:rsidR="00322DEE" w:rsidRDefault="00322DEE" w:rsidP="00322DEE">
      <w:pPr>
        <w:spacing w:before="100" w:beforeAutospacing="1"/>
        <w:rPr>
          <w:b/>
          <w:color w:val="ED7D31" w:themeColor="accent2"/>
          <w:sz w:val="44"/>
        </w:rPr>
      </w:pPr>
    </w:p>
    <w:p w14:paraId="257354BC" w14:textId="77777777" w:rsidR="00276B9A" w:rsidRPr="00D2792E" w:rsidRDefault="00D90BD9" w:rsidP="00322DEE">
      <w:pPr>
        <w:spacing w:before="100" w:beforeAutospacing="1"/>
        <w:rPr>
          <w:b/>
          <w:color w:val="ED7D31" w:themeColor="accent2"/>
          <w:sz w:val="40"/>
          <w:szCs w:val="40"/>
        </w:rPr>
      </w:pPr>
      <w:r w:rsidRPr="00D2792E">
        <w:rPr>
          <w:b/>
          <w:color w:val="ED7D31" w:themeColor="accent2"/>
          <w:sz w:val="40"/>
          <w:szCs w:val="40"/>
        </w:rPr>
        <w:t>Øvelse</w:t>
      </w:r>
      <w:bookmarkStart w:id="0" w:name="_GoBack"/>
      <w:bookmarkEnd w:id="0"/>
    </w:p>
    <w:p w14:paraId="54866B90" w14:textId="77777777" w:rsidR="002F70A1" w:rsidRPr="00D90BD9" w:rsidRDefault="002F70A1" w:rsidP="002F70A1">
      <w:pPr>
        <w:spacing w:before="100" w:beforeAutospacing="1"/>
        <w:rPr>
          <w:b/>
        </w:rPr>
      </w:pPr>
      <w:r w:rsidRPr="00D90BD9">
        <w:rPr>
          <w:b/>
        </w:rPr>
        <w:t>1. Start øvelsen med at tale om/diskutere følgende i grupper</w:t>
      </w:r>
      <w:r w:rsidR="00486B88" w:rsidRPr="00D90BD9">
        <w:rPr>
          <w:b/>
        </w:rPr>
        <w:t>:</w:t>
      </w:r>
    </w:p>
    <w:p w14:paraId="43D96727" w14:textId="77777777" w:rsidR="002F70A1" w:rsidRDefault="002F70A1" w:rsidP="002F70A1">
      <w:pPr>
        <w:pStyle w:val="Listeafsnit"/>
        <w:numPr>
          <w:ilvl w:val="0"/>
          <w:numId w:val="1"/>
        </w:numPr>
        <w:spacing w:before="100" w:beforeAutospacing="1"/>
      </w:pPr>
      <w:r>
        <w:t>Arbejder vi med religionsperspektivet på vores museum?</w:t>
      </w:r>
    </w:p>
    <w:p w14:paraId="065715F8" w14:textId="77777777" w:rsidR="002F70A1" w:rsidRDefault="002F70A1" w:rsidP="002F70A1">
      <w:pPr>
        <w:pStyle w:val="Listeafsnit"/>
        <w:numPr>
          <w:ilvl w:val="0"/>
          <w:numId w:val="1"/>
        </w:numPr>
        <w:spacing w:before="100" w:beforeAutospacing="1"/>
      </w:pPr>
      <w:r>
        <w:t>Er religion et vigtigt emne at tale om på vores museum?</w:t>
      </w:r>
    </w:p>
    <w:p w14:paraId="55F2738E" w14:textId="77777777" w:rsidR="002F70A1" w:rsidRDefault="002F70A1" w:rsidP="002F70A1">
      <w:pPr>
        <w:pStyle w:val="Listeafsnit"/>
        <w:numPr>
          <w:ilvl w:val="0"/>
          <w:numId w:val="1"/>
        </w:numPr>
        <w:spacing w:before="100" w:beforeAutospacing="1"/>
      </w:pPr>
      <w:r>
        <w:t xml:space="preserve">Har vi genstande i vores udstilling, som har med religion at gøre? </w:t>
      </w:r>
    </w:p>
    <w:p w14:paraId="5147EBB9" w14:textId="77777777" w:rsidR="002F70A1" w:rsidRDefault="002F70A1" w:rsidP="002F70A1">
      <w:pPr>
        <w:pStyle w:val="Listeafsnit"/>
        <w:numPr>
          <w:ilvl w:val="0"/>
          <w:numId w:val="1"/>
        </w:numPr>
        <w:spacing w:before="100" w:beforeAutospacing="1"/>
      </w:pPr>
      <w:r>
        <w:t>Hvordan kan vi udvide religionsperspektivet?</w:t>
      </w:r>
    </w:p>
    <w:p w14:paraId="6A7BDB08" w14:textId="77777777" w:rsidR="00322DEE" w:rsidRPr="002F70A1" w:rsidRDefault="00322DEE" w:rsidP="00322DEE">
      <w:pPr>
        <w:spacing w:before="100" w:beforeAutospacing="1"/>
      </w:pPr>
    </w:p>
    <w:p w14:paraId="4F2AE994" w14:textId="77777777" w:rsidR="002C5703" w:rsidRPr="00D90BD9" w:rsidRDefault="002F70A1" w:rsidP="002F70A1">
      <w:pPr>
        <w:spacing w:before="100" w:beforeAutospacing="1"/>
        <w:rPr>
          <w:b/>
        </w:rPr>
      </w:pPr>
      <w:r w:rsidRPr="00D90BD9">
        <w:rPr>
          <w:b/>
        </w:rPr>
        <w:t xml:space="preserve">2. </w:t>
      </w:r>
      <w:r w:rsidR="009B3A03" w:rsidRPr="00D90BD9">
        <w:rPr>
          <w:b/>
        </w:rPr>
        <w:t>Derefter i fællesskab</w:t>
      </w:r>
      <w:r w:rsidRPr="00D90BD9">
        <w:rPr>
          <w:b/>
        </w:rPr>
        <w:t xml:space="preserve"> </w:t>
      </w:r>
      <w:r w:rsidR="009B3A03" w:rsidRPr="00D90BD9">
        <w:rPr>
          <w:b/>
        </w:rPr>
        <w:t xml:space="preserve">se </w:t>
      </w:r>
      <w:r w:rsidRPr="00D90BD9">
        <w:rPr>
          <w:b/>
        </w:rPr>
        <w:t>de</w:t>
      </w:r>
      <w:r w:rsidR="008F230A" w:rsidRPr="00D90BD9">
        <w:rPr>
          <w:b/>
        </w:rPr>
        <w:t xml:space="preserve"> udvalgte videoer, der findes under fanen </w:t>
      </w:r>
      <w:r w:rsidR="008F230A" w:rsidRPr="00D90BD9">
        <w:rPr>
          <w:b/>
          <w:i/>
        </w:rPr>
        <w:t>’Sådan kan du gøre’</w:t>
      </w:r>
      <w:r w:rsidR="00486B88" w:rsidRPr="00D90BD9">
        <w:rPr>
          <w:b/>
        </w:rPr>
        <w:t>:</w:t>
      </w:r>
    </w:p>
    <w:p w14:paraId="3C4FB6A5" w14:textId="77777777" w:rsidR="002F70A1" w:rsidRPr="002F70A1" w:rsidRDefault="002F70A1" w:rsidP="002F70A1">
      <w:pPr>
        <w:pStyle w:val="Listeafsnit"/>
        <w:numPr>
          <w:ilvl w:val="0"/>
          <w:numId w:val="2"/>
        </w:numPr>
        <w:spacing w:before="100" w:beforeAutospacing="1"/>
        <w:rPr>
          <w:b/>
        </w:rPr>
      </w:pPr>
      <w:r w:rsidRPr="002F70A1">
        <w:rPr>
          <w:i/>
        </w:rPr>
        <w:t>’Dåbskjolen’</w:t>
      </w:r>
    </w:p>
    <w:p w14:paraId="591EB6A6" w14:textId="77777777" w:rsidR="002F70A1" w:rsidRPr="002F70A1" w:rsidRDefault="002F70A1" w:rsidP="002F70A1">
      <w:pPr>
        <w:pStyle w:val="Listeafsnit"/>
        <w:numPr>
          <w:ilvl w:val="0"/>
          <w:numId w:val="2"/>
        </w:numPr>
        <w:spacing w:before="100" w:beforeAutospacing="1"/>
        <w:rPr>
          <w:b/>
        </w:rPr>
      </w:pPr>
      <w:r w:rsidRPr="002F70A1">
        <w:rPr>
          <w:i/>
        </w:rPr>
        <w:t>’Påskelammet’</w:t>
      </w:r>
    </w:p>
    <w:p w14:paraId="0A51EEED" w14:textId="77777777" w:rsidR="00DD01DB" w:rsidRPr="00DD01DB" w:rsidRDefault="002F70A1" w:rsidP="00DD01DB">
      <w:pPr>
        <w:pStyle w:val="Listeafsnit"/>
        <w:numPr>
          <w:ilvl w:val="0"/>
          <w:numId w:val="2"/>
        </w:numPr>
        <w:spacing w:before="100" w:beforeAutospacing="1"/>
        <w:rPr>
          <w:b/>
        </w:rPr>
      </w:pPr>
      <w:r w:rsidRPr="002F70A1">
        <w:rPr>
          <w:i/>
        </w:rPr>
        <w:t>’Levende Religion’</w:t>
      </w:r>
    </w:p>
    <w:p w14:paraId="0447ADCD" w14:textId="77777777" w:rsidR="00DD01DB" w:rsidRPr="00322DEE" w:rsidRDefault="00DD01DB" w:rsidP="009B3A03">
      <w:pPr>
        <w:pStyle w:val="Listeafsnit"/>
        <w:numPr>
          <w:ilvl w:val="0"/>
          <w:numId w:val="2"/>
        </w:numPr>
        <w:spacing w:before="100" w:beforeAutospacing="1"/>
        <w:rPr>
          <w:b/>
        </w:rPr>
      </w:pPr>
      <w:r>
        <w:rPr>
          <w:i/>
        </w:rPr>
        <w:t>’</w:t>
      </w:r>
      <w:r w:rsidRPr="00DD01DB">
        <w:t xml:space="preserve"> </w:t>
      </w:r>
      <w:r w:rsidRPr="00DD01DB">
        <w:rPr>
          <w:i/>
        </w:rPr>
        <w:t>Genstande fra et religionsperspektiv</w:t>
      </w:r>
    </w:p>
    <w:p w14:paraId="70D48672" w14:textId="77777777" w:rsidR="00322DEE" w:rsidRDefault="00322DEE" w:rsidP="00322DEE">
      <w:pPr>
        <w:pStyle w:val="Listeafsnit"/>
        <w:spacing w:before="100" w:beforeAutospacing="1"/>
        <w:rPr>
          <w:i/>
        </w:rPr>
      </w:pPr>
    </w:p>
    <w:p w14:paraId="2436C305" w14:textId="77777777" w:rsidR="00322DEE" w:rsidRPr="00DD01DB" w:rsidRDefault="00322DEE" w:rsidP="00322DEE">
      <w:pPr>
        <w:pStyle w:val="Listeafsnit"/>
        <w:spacing w:before="100" w:beforeAutospacing="1"/>
        <w:rPr>
          <w:b/>
        </w:rPr>
      </w:pPr>
    </w:p>
    <w:p w14:paraId="4CE351B0" w14:textId="77777777" w:rsidR="00486B88" w:rsidRPr="00D90BD9" w:rsidRDefault="002F70A1" w:rsidP="00DD01DB">
      <w:pPr>
        <w:spacing w:before="100" w:beforeAutospacing="1"/>
        <w:rPr>
          <w:b/>
        </w:rPr>
      </w:pPr>
      <w:r w:rsidRPr="00D90BD9">
        <w:rPr>
          <w:b/>
        </w:rPr>
        <w:t xml:space="preserve">3. </w:t>
      </w:r>
      <w:r w:rsidR="009B3A03" w:rsidRPr="00D90BD9">
        <w:rPr>
          <w:b/>
        </w:rPr>
        <w:t>Bring herefter de</w:t>
      </w:r>
      <w:r w:rsidR="00486B88" w:rsidRPr="00D90BD9">
        <w:rPr>
          <w:b/>
        </w:rPr>
        <w:t xml:space="preserve"> medbragte genstande i spil</w:t>
      </w:r>
      <w:r w:rsidR="009B3A03" w:rsidRPr="00D90BD9">
        <w:rPr>
          <w:b/>
        </w:rPr>
        <w:t xml:space="preserve"> ved at tale om/diskutere: </w:t>
      </w:r>
    </w:p>
    <w:p w14:paraId="47C199F7" w14:textId="77777777" w:rsidR="009B3A03" w:rsidRDefault="009B3A03" w:rsidP="009B3A03">
      <w:pPr>
        <w:pStyle w:val="Listeafsnit"/>
        <w:numPr>
          <w:ilvl w:val="0"/>
          <w:numId w:val="4"/>
        </w:numPr>
        <w:spacing w:before="100" w:beforeAutospacing="1"/>
      </w:pPr>
      <w:r>
        <w:t xml:space="preserve">Start med åbne spørgsmål, der åbner op for genstanden. </w:t>
      </w:r>
    </w:p>
    <w:p w14:paraId="693C6814" w14:textId="77777777" w:rsidR="009B3A03" w:rsidRDefault="009B3A03" w:rsidP="009B3A03">
      <w:pPr>
        <w:pStyle w:val="Listeafsnit"/>
        <w:numPr>
          <w:ilvl w:val="1"/>
          <w:numId w:val="4"/>
        </w:numPr>
        <w:spacing w:before="100" w:beforeAutospacing="1"/>
        <w:rPr>
          <w:i/>
        </w:rPr>
      </w:pPr>
      <w:r w:rsidRPr="009B3A03">
        <w:rPr>
          <w:i/>
        </w:rPr>
        <w:t xml:space="preserve">Hvilken genstand er dette? Hvordan ser den ud? Hvor er den fra? Tilhører den en bestemt religion? Hvad bruges genstanden til? Hvem ejer genstanden? Har den en historisk kontekst? </w:t>
      </w:r>
      <w:r w:rsidR="00DD01DB">
        <w:rPr>
          <w:i/>
        </w:rPr>
        <w:t xml:space="preserve">Kan denne genstand bruges i en udstillingskontekst? </w:t>
      </w:r>
    </w:p>
    <w:p w14:paraId="63E4572E" w14:textId="77777777" w:rsidR="00322DEE" w:rsidRPr="00322DEE" w:rsidRDefault="00322DEE" w:rsidP="00322DEE">
      <w:pPr>
        <w:spacing w:before="100" w:beforeAutospacing="1"/>
        <w:rPr>
          <w:i/>
        </w:rPr>
      </w:pPr>
    </w:p>
    <w:p w14:paraId="4D71AED1" w14:textId="77777777" w:rsidR="00DD01DB" w:rsidRPr="00D90BD9" w:rsidRDefault="00DD01DB" w:rsidP="00DD01DB">
      <w:pPr>
        <w:spacing w:before="100" w:beforeAutospacing="1"/>
        <w:rPr>
          <w:b/>
          <w:i/>
        </w:rPr>
      </w:pPr>
      <w:r w:rsidRPr="00D90BD9">
        <w:rPr>
          <w:b/>
        </w:rPr>
        <w:t xml:space="preserve">4. </w:t>
      </w:r>
      <w:r w:rsidR="009B3A03" w:rsidRPr="00D90BD9">
        <w:rPr>
          <w:b/>
        </w:rPr>
        <w:t xml:space="preserve">Herefter </w:t>
      </w:r>
      <w:r w:rsidRPr="00D90BD9">
        <w:rPr>
          <w:b/>
        </w:rPr>
        <w:t xml:space="preserve">bring </w:t>
      </w:r>
      <w:r w:rsidRPr="00D90BD9">
        <w:rPr>
          <w:b/>
          <w:i/>
        </w:rPr>
        <w:t>’De fire religionsområder’</w:t>
      </w:r>
      <w:r w:rsidRPr="00D90BD9">
        <w:rPr>
          <w:b/>
        </w:rPr>
        <w:t xml:space="preserve"> i spil og tal om genstanden ud fra disse (Fra videoen: ’Genstande fra et religionsperspektiv’)</w:t>
      </w:r>
    </w:p>
    <w:p w14:paraId="1D4C62D1" w14:textId="77777777" w:rsidR="00DD01DB" w:rsidRPr="00DD01DB" w:rsidRDefault="00DD01DB" w:rsidP="00DD01DB">
      <w:pPr>
        <w:pStyle w:val="Listeafsnit"/>
        <w:numPr>
          <w:ilvl w:val="0"/>
          <w:numId w:val="4"/>
        </w:numPr>
        <w:spacing w:before="100" w:beforeAutospacing="1"/>
        <w:rPr>
          <w:i/>
        </w:rPr>
      </w:pPr>
      <w:r w:rsidRPr="00DD01DB">
        <w:rPr>
          <w:bCs/>
          <w:i/>
        </w:rPr>
        <w:t>1. Religiøse symbolsystemer</w:t>
      </w:r>
    </w:p>
    <w:p w14:paraId="1677AC11" w14:textId="77777777" w:rsidR="00DD01DB" w:rsidRPr="00DD01DB" w:rsidRDefault="00DD01DB" w:rsidP="00DD01DB">
      <w:pPr>
        <w:pStyle w:val="Listeafsnit"/>
        <w:numPr>
          <w:ilvl w:val="1"/>
          <w:numId w:val="4"/>
        </w:numPr>
      </w:pPr>
      <w:r>
        <w:t>Overvej om der er nogle religiøse handlinger koblet op på genstanden</w:t>
      </w:r>
    </w:p>
    <w:p w14:paraId="0810CE3D" w14:textId="77777777" w:rsidR="00DD01DB" w:rsidRPr="00DD01DB" w:rsidRDefault="00DD01DB" w:rsidP="00DD01DB">
      <w:pPr>
        <w:pStyle w:val="Listeafsnit"/>
        <w:numPr>
          <w:ilvl w:val="0"/>
          <w:numId w:val="4"/>
        </w:numPr>
        <w:spacing w:before="100" w:beforeAutospacing="1"/>
        <w:rPr>
          <w:i/>
        </w:rPr>
      </w:pPr>
      <w:r w:rsidRPr="00DD01DB">
        <w:rPr>
          <w:i/>
        </w:rPr>
        <w:t xml:space="preserve">2. </w:t>
      </w:r>
      <w:r w:rsidRPr="00DD01DB">
        <w:rPr>
          <w:bCs/>
          <w:i/>
        </w:rPr>
        <w:t>Religiøse handlinger</w:t>
      </w:r>
    </w:p>
    <w:p w14:paraId="07C4A745" w14:textId="77777777" w:rsidR="00DD01DB" w:rsidRPr="00DD01DB" w:rsidRDefault="00DD01DB" w:rsidP="00DD01DB">
      <w:pPr>
        <w:pStyle w:val="Listeafsnit"/>
        <w:numPr>
          <w:ilvl w:val="1"/>
          <w:numId w:val="4"/>
        </w:numPr>
      </w:pPr>
      <w:r>
        <w:t>overvej om der er nogle religiøse handlinger koblet op på genstanden</w:t>
      </w:r>
    </w:p>
    <w:p w14:paraId="1E51C2E2" w14:textId="77777777" w:rsidR="00DD01DB" w:rsidRPr="00DD01DB" w:rsidRDefault="00DD01DB" w:rsidP="00DD01DB">
      <w:pPr>
        <w:pStyle w:val="Listeafsnit"/>
        <w:numPr>
          <w:ilvl w:val="0"/>
          <w:numId w:val="4"/>
        </w:numPr>
        <w:spacing w:before="100" w:beforeAutospacing="1"/>
        <w:rPr>
          <w:i/>
        </w:rPr>
      </w:pPr>
      <w:r w:rsidRPr="00DD01DB">
        <w:rPr>
          <w:bCs/>
          <w:i/>
        </w:rPr>
        <w:t>3. Implikationer for samfundet</w:t>
      </w:r>
    </w:p>
    <w:p w14:paraId="41AE1026" w14:textId="77777777" w:rsidR="00DD01DB" w:rsidRPr="00DD01DB" w:rsidRDefault="00DD01DB" w:rsidP="00DD01DB">
      <w:pPr>
        <w:pStyle w:val="Listeafsnit"/>
        <w:numPr>
          <w:ilvl w:val="1"/>
          <w:numId w:val="4"/>
        </w:numPr>
      </w:pPr>
      <w:r>
        <w:t>Overvej om der er nogle religiøse handlinger koblet op på genstanden</w:t>
      </w:r>
    </w:p>
    <w:p w14:paraId="4DAE568C" w14:textId="77777777" w:rsidR="00DD01DB" w:rsidRPr="00DD01DB" w:rsidRDefault="00DD01DB" w:rsidP="00DD01DB">
      <w:pPr>
        <w:pStyle w:val="Listeafsnit"/>
        <w:numPr>
          <w:ilvl w:val="0"/>
          <w:numId w:val="4"/>
        </w:numPr>
        <w:spacing w:before="100" w:beforeAutospacing="1"/>
        <w:rPr>
          <w:i/>
        </w:rPr>
      </w:pPr>
      <w:r w:rsidRPr="00DD01DB">
        <w:rPr>
          <w:bCs/>
          <w:i/>
        </w:rPr>
        <w:t>4. Religiøs organisation</w:t>
      </w:r>
    </w:p>
    <w:p w14:paraId="343B2369" w14:textId="77777777" w:rsidR="00DD01DB" w:rsidRDefault="00DD01DB" w:rsidP="00DD01DB">
      <w:pPr>
        <w:pStyle w:val="Listeafsnit"/>
        <w:numPr>
          <w:ilvl w:val="1"/>
          <w:numId w:val="4"/>
        </w:numPr>
      </w:pPr>
      <w:r>
        <w:t>Overvej hvordan genstanden er koblet op på en religiøs organisation og hvordan/hvor den er koblet op på hjemmet</w:t>
      </w:r>
    </w:p>
    <w:p w14:paraId="78635448" w14:textId="77777777" w:rsidR="00322DEE" w:rsidRDefault="00322DEE" w:rsidP="00322DEE"/>
    <w:p w14:paraId="69DA1E89" w14:textId="77777777" w:rsidR="00322DEE" w:rsidRDefault="00322DEE" w:rsidP="00322DEE"/>
    <w:p w14:paraId="5BCA31DC" w14:textId="77777777" w:rsidR="00D90BD9" w:rsidRPr="00D90BD9" w:rsidRDefault="00DD01DB" w:rsidP="00D90BD9">
      <w:pPr>
        <w:spacing w:before="100" w:beforeAutospacing="1"/>
        <w:rPr>
          <w:b/>
        </w:rPr>
      </w:pPr>
      <w:r w:rsidRPr="00D90BD9">
        <w:rPr>
          <w:b/>
        </w:rPr>
        <w:t>5. Opsamling</w:t>
      </w:r>
    </w:p>
    <w:p w14:paraId="76E7A008" w14:textId="77777777" w:rsidR="00FD44BE" w:rsidRDefault="00FD44BE">
      <w:pPr>
        <w:rPr>
          <w:sz w:val="32"/>
        </w:rPr>
      </w:pPr>
    </w:p>
    <w:p w14:paraId="2EF34E51" w14:textId="77777777" w:rsidR="00D90BD9" w:rsidRPr="00D90BD9" w:rsidRDefault="00D90BD9" w:rsidP="00D90BD9">
      <w:pPr>
        <w:pStyle w:val="Listeafsnit"/>
        <w:numPr>
          <w:ilvl w:val="0"/>
          <w:numId w:val="7"/>
        </w:numPr>
        <w:rPr>
          <w:sz w:val="32"/>
        </w:rPr>
      </w:pPr>
      <w:r>
        <w:t>Hvordan fungerer det at se på genstande på denne måde?</w:t>
      </w:r>
    </w:p>
    <w:p w14:paraId="47103332" w14:textId="77777777" w:rsidR="00D90BD9" w:rsidRPr="00D90BD9" w:rsidRDefault="00D90BD9" w:rsidP="00D90BD9">
      <w:pPr>
        <w:pStyle w:val="Listeafsnit"/>
        <w:numPr>
          <w:ilvl w:val="0"/>
          <w:numId w:val="7"/>
        </w:numPr>
        <w:rPr>
          <w:sz w:val="32"/>
        </w:rPr>
      </w:pPr>
      <w:r>
        <w:t>Hvilke spørgsmål rejste det?</w:t>
      </w:r>
    </w:p>
    <w:p w14:paraId="5388E0BA" w14:textId="77777777" w:rsidR="00D90BD9" w:rsidRPr="00D90BD9" w:rsidRDefault="00D90BD9" w:rsidP="00D90BD9">
      <w:pPr>
        <w:pStyle w:val="Listeafsnit"/>
        <w:numPr>
          <w:ilvl w:val="0"/>
          <w:numId w:val="7"/>
        </w:numPr>
        <w:rPr>
          <w:sz w:val="32"/>
        </w:rPr>
      </w:pPr>
      <w:r>
        <w:t>Hvilke udviklingsperspektiver er der i at arbejde med genstande ud fra et religionsperspektiv?</w:t>
      </w:r>
    </w:p>
    <w:p w14:paraId="45221810" w14:textId="77777777" w:rsidR="00D90BD9" w:rsidRPr="00322DEE" w:rsidRDefault="00D90BD9" w:rsidP="00D90BD9">
      <w:pPr>
        <w:pStyle w:val="Listeafsnit"/>
        <w:numPr>
          <w:ilvl w:val="0"/>
          <w:numId w:val="7"/>
        </w:numPr>
        <w:rPr>
          <w:sz w:val="32"/>
        </w:rPr>
      </w:pPr>
      <w:r>
        <w:t>Kan disse videoer hjælpe til at udvikle religionsperspektivet på dit museum?</w:t>
      </w:r>
    </w:p>
    <w:p w14:paraId="6FD256A1" w14:textId="77777777" w:rsidR="00322DEE" w:rsidRDefault="00322DEE" w:rsidP="00322DEE">
      <w:pPr>
        <w:rPr>
          <w:sz w:val="32"/>
        </w:rPr>
      </w:pPr>
    </w:p>
    <w:p w14:paraId="3A707433" w14:textId="77777777" w:rsidR="00322DEE" w:rsidRPr="00322DEE" w:rsidRDefault="00322DEE" w:rsidP="00322DEE">
      <w:pPr>
        <w:rPr>
          <w:sz w:val="32"/>
        </w:rPr>
      </w:pPr>
    </w:p>
    <w:sectPr w:rsidR="00322DEE" w:rsidRPr="00322DEE" w:rsidSect="00673D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BED"/>
    <w:multiLevelType w:val="hybridMultilevel"/>
    <w:tmpl w:val="12B04192"/>
    <w:lvl w:ilvl="0" w:tplc="278ED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F3FB3"/>
    <w:multiLevelType w:val="hybridMultilevel"/>
    <w:tmpl w:val="2BD85D8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539"/>
    <w:multiLevelType w:val="hybridMultilevel"/>
    <w:tmpl w:val="1B388F84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2D73"/>
    <w:multiLevelType w:val="hybridMultilevel"/>
    <w:tmpl w:val="43B63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3AE4"/>
    <w:multiLevelType w:val="hybridMultilevel"/>
    <w:tmpl w:val="D8466E0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647A"/>
    <w:multiLevelType w:val="hybridMultilevel"/>
    <w:tmpl w:val="ECAC0B1A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A4360"/>
    <w:multiLevelType w:val="hybridMultilevel"/>
    <w:tmpl w:val="8E1411A2"/>
    <w:lvl w:ilvl="0" w:tplc="BB8A2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NDEwszAB0hZm5ko6SsGpxcWZ+XkgBYa1AF1bsV4sAAAA"/>
  </w:docVars>
  <w:rsids>
    <w:rsidRoot w:val="00FD44BE"/>
    <w:rsid w:val="000315F1"/>
    <w:rsid w:val="00084F5F"/>
    <w:rsid w:val="0020257E"/>
    <w:rsid w:val="00221CDC"/>
    <w:rsid w:val="00275AB7"/>
    <w:rsid w:val="00276B9A"/>
    <w:rsid w:val="002C5703"/>
    <w:rsid w:val="002F70A1"/>
    <w:rsid w:val="0032126A"/>
    <w:rsid w:val="00322DEE"/>
    <w:rsid w:val="0042712C"/>
    <w:rsid w:val="00465234"/>
    <w:rsid w:val="00486B88"/>
    <w:rsid w:val="004D7AAB"/>
    <w:rsid w:val="00602475"/>
    <w:rsid w:val="00673D86"/>
    <w:rsid w:val="00706418"/>
    <w:rsid w:val="00765255"/>
    <w:rsid w:val="00787E98"/>
    <w:rsid w:val="008847AF"/>
    <w:rsid w:val="00895447"/>
    <w:rsid w:val="008B3320"/>
    <w:rsid w:val="008D5DFB"/>
    <w:rsid w:val="008F230A"/>
    <w:rsid w:val="00990E14"/>
    <w:rsid w:val="00995801"/>
    <w:rsid w:val="009A0591"/>
    <w:rsid w:val="009A7362"/>
    <w:rsid w:val="009B3A03"/>
    <w:rsid w:val="00BC181E"/>
    <w:rsid w:val="00C906D2"/>
    <w:rsid w:val="00CC450C"/>
    <w:rsid w:val="00CE4205"/>
    <w:rsid w:val="00D2792E"/>
    <w:rsid w:val="00D90BD9"/>
    <w:rsid w:val="00DD01DB"/>
    <w:rsid w:val="00EF039A"/>
    <w:rsid w:val="00FC545C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F1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D7AAB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15F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7AAB"/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15F1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Dalum Kristensen</dc:creator>
  <cp:keywords/>
  <dc:description/>
  <cp:lastModifiedBy>Abir Mohamad Ismail</cp:lastModifiedBy>
  <cp:revision>2</cp:revision>
  <dcterms:created xsi:type="dcterms:W3CDTF">2022-12-19T09:04:00Z</dcterms:created>
  <dcterms:modified xsi:type="dcterms:W3CDTF">2022-12-19T09:04:00Z</dcterms:modified>
</cp:coreProperties>
</file>